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ind w:firstLine="0" w:firstLineChars="0"/>
        <w:jc w:val="left"/>
        <w:rPr>
          <w:rFonts w:ascii="仿宋" w:hAnsi="仿宋" w:eastAsia="仿宋"/>
          <w:sz w:val="32"/>
          <w:szCs w:val="32"/>
        </w:rPr>
      </w:pPr>
      <w:r>
        <w:rPr>
          <w:rFonts w:hint="eastAsia" w:ascii="仿宋" w:hAnsi="仿宋" w:eastAsia="仿宋"/>
          <w:sz w:val="32"/>
          <w:szCs w:val="32"/>
        </w:rPr>
        <w:t>附件：</w:t>
      </w:r>
    </w:p>
    <w:p>
      <w:pPr>
        <w:pStyle w:val="2"/>
        <w:spacing w:before="0" w:after="0" w:line="360" w:lineRule="auto"/>
        <w:rPr>
          <w:rFonts w:ascii="方正小标宋简体" w:eastAsia="方正小标宋简体"/>
          <w:sz w:val="44"/>
          <w:szCs w:val="44"/>
        </w:rPr>
      </w:pPr>
      <w:bookmarkStart w:id="0" w:name="_Hlk518909258"/>
      <w:r>
        <w:rPr>
          <w:rFonts w:hint="eastAsia" w:ascii="方正小标宋简体" w:eastAsia="方正小标宋简体"/>
          <w:sz w:val="44"/>
          <w:szCs w:val="44"/>
        </w:rPr>
        <w:t>企业社会责任治理自我声明和</w:t>
      </w:r>
    </w:p>
    <w:p>
      <w:pPr>
        <w:pStyle w:val="2"/>
        <w:spacing w:before="0" w:after="0" w:line="360" w:lineRule="auto"/>
        <w:rPr>
          <w:rFonts w:ascii="方正小标宋简体" w:eastAsia="方正小标宋简体"/>
          <w:sz w:val="44"/>
          <w:szCs w:val="44"/>
        </w:rPr>
      </w:pPr>
      <w:r>
        <w:rPr>
          <w:rFonts w:hint="eastAsia" w:ascii="方正小标宋简体" w:eastAsia="方正小标宋简体"/>
          <w:sz w:val="44"/>
          <w:szCs w:val="44"/>
        </w:rPr>
        <w:t>水平评测</w:t>
      </w:r>
      <w:bookmarkEnd w:id="0"/>
      <w:r>
        <w:rPr>
          <w:rFonts w:hint="eastAsia" w:ascii="方正小标宋简体" w:eastAsia="方正小标宋简体"/>
          <w:sz w:val="44"/>
          <w:szCs w:val="44"/>
        </w:rPr>
        <w:t>服务</w:t>
      </w:r>
      <w:bookmarkStart w:id="1" w:name="_GoBack"/>
      <w:bookmarkEnd w:id="1"/>
      <w:r>
        <w:rPr>
          <w:rFonts w:hint="eastAsia" w:ascii="方正小标宋简体" w:eastAsia="方正小标宋简体"/>
          <w:sz w:val="44"/>
          <w:szCs w:val="44"/>
        </w:rPr>
        <w:t>工作说明</w:t>
      </w:r>
    </w:p>
    <w:p>
      <w:pPr>
        <w:spacing w:line="360" w:lineRule="auto"/>
      </w:pPr>
    </w:p>
    <w:p>
      <w:pPr>
        <w:spacing w:line="360" w:lineRule="auto"/>
        <w:ind w:left="567"/>
        <w:rPr>
          <w:rFonts w:ascii="黑体" w:hAnsi="黑体" w:eastAsia="黑体" w:cs="仿宋_GB2312"/>
          <w:b/>
          <w:bCs/>
          <w:sz w:val="32"/>
          <w:szCs w:val="32"/>
        </w:rPr>
      </w:pPr>
    </w:p>
    <w:p>
      <w:pPr>
        <w:pStyle w:val="7"/>
        <w:numPr>
          <w:ilvl w:val="0"/>
          <w:numId w:val="1"/>
        </w:numPr>
        <w:spacing w:line="360" w:lineRule="auto"/>
        <w:ind w:firstLine="147" w:firstLineChars="0"/>
        <w:rPr>
          <w:rFonts w:ascii="黑体" w:hAnsi="黑体" w:eastAsia="黑体" w:cs="仿宋_GB2312"/>
          <w:b/>
          <w:bCs/>
          <w:sz w:val="32"/>
          <w:szCs w:val="32"/>
        </w:rPr>
      </w:pPr>
      <w:r>
        <w:rPr>
          <w:rFonts w:hint="eastAsia" w:ascii="黑体" w:hAnsi="黑体" w:eastAsia="黑体" w:cs="仿宋_GB2312"/>
          <w:b/>
          <w:bCs/>
          <w:sz w:val="32"/>
          <w:szCs w:val="32"/>
        </w:rPr>
        <w:t>目标及意义</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bCs/>
          <w:sz w:val="32"/>
          <w:szCs w:val="32"/>
        </w:rPr>
        <w:t>服务于企业履行社会责任意识和能力提升。</w:t>
      </w:r>
      <w:r>
        <w:rPr>
          <w:rFonts w:hint="eastAsia" w:ascii="仿宋" w:hAnsi="仿宋" w:eastAsia="仿宋" w:cs="仿宋_GB2312"/>
          <w:sz w:val="32"/>
          <w:szCs w:val="32"/>
        </w:rPr>
        <w:t>一是通过企业的社会责任治理自我声明，推动企业主动向社会公开社会责任信息，增强企业社会责任信息披露意识，增加企业社会责任信息披露手段；</w:t>
      </w:r>
      <w:r>
        <w:rPr>
          <w:rFonts w:hint="eastAsia" w:ascii="仿宋" w:hAnsi="仿宋" w:eastAsia="仿宋" w:cs="仿宋_GB2312"/>
          <w:bCs/>
          <w:sz w:val="32"/>
          <w:szCs w:val="32"/>
        </w:rPr>
        <w:t>二是</w:t>
      </w:r>
      <w:r>
        <w:rPr>
          <w:rFonts w:hint="eastAsia" w:ascii="仿宋" w:hAnsi="仿宋" w:eastAsia="仿宋" w:cs="仿宋_GB2312"/>
          <w:sz w:val="32"/>
          <w:szCs w:val="32"/>
        </w:rPr>
        <w:t>通过社会责任治理水平评测服务，助力企业全面系统了解，并监测评价企业自身社会责任治理水平，以促进企业持续改进提升社会责任实践和治理能力，更科学、持续、系统地履行社会责任。</w:t>
      </w:r>
    </w:p>
    <w:p>
      <w:pPr>
        <w:pStyle w:val="7"/>
        <w:numPr>
          <w:ilvl w:val="0"/>
          <w:numId w:val="1"/>
        </w:numPr>
        <w:spacing w:line="360" w:lineRule="auto"/>
        <w:ind w:firstLine="147" w:firstLineChars="0"/>
        <w:rPr>
          <w:rFonts w:ascii="黑体" w:hAnsi="黑体" w:eastAsia="黑体" w:cs="仿宋_GB2312"/>
          <w:b/>
          <w:bCs/>
          <w:sz w:val="32"/>
          <w:szCs w:val="32"/>
        </w:rPr>
      </w:pPr>
      <w:r>
        <w:rPr>
          <w:rFonts w:hint="eastAsia" w:ascii="黑体" w:hAnsi="黑体" w:eastAsia="黑体" w:cs="仿宋_GB2312"/>
          <w:b/>
          <w:bCs/>
          <w:sz w:val="32"/>
          <w:szCs w:val="32"/>
        </w:rPr>
        <w:t>主要依据标准</w:t>
      </w:r>
    </w:p>
    <w:p>
      <w:pPr>
        <w:numPr>
          <w:ilvl w:val="255"/>
          <w:numId w:val="0"/>
        </w:numPr>
        <w:spacing w:line="360" w:lineRule="auto"/>
        <w:ind w:firstLine="640" w:firstLineChars="200"/>
        <w:rPr>
          <w:rFonts w:ascii="仿宋" w:hAnsi="仿宋" w:eastAsia="仿宋" w:cs="仿宋_GB2312"/>
          <w:b/>
          <w:bCs/>
          <w:sz w:val="32"/>
          <w:szCs w:val="32"/>
        </w:rPr>
      </w:pPr>
      <w:r>
        <w:rPr>
          <w:rFonts w:hint="eastAsia" w:ascii="仿宋" w:hAnsi="仿宋" w:eastAsia="仿宋" w:cs="仿宋_GB2312"/>
          <w:sz w:val="32"/>
          <w:szCs w:val="32"/>
        </w:rPr>
        <w:t>SJ/T16000-2016《电子信息行业社会责任指南》和T/CESA 16003-2017《电子信息行业社会责任治理水平评价指标体系》等。</w:t>
      </w:r>
    </w:p>
    <w:p>
      <w:pPr>
        <w:pStyle w:val="7"/>
        <w:numPr>
          <w:ilvl w:val="1"/>
          <w:numId w:val="2"/>
        </w:numPr>
        <w:spacing w:line="360" w:lineRule="auto"/>
        <w:ind w:left="0" w:firstLine="567" w:firstLineChars="0"/>
        <w:rPr>
          <w:rFonts w:ascii="仿宋_GB2312" w:hAnsi="仿宋_GB2312" w:eastAsia="仿宋_GB2312" w:cs="仿宋_GB2312"/>
          <w:b/>
          <w:bCs/>
          <w:sz w:val="32"/>
          <w:szCs w:val="32"/>
        </w:rPr>
      </w:pPr>
      <w:r>
        <w:rPr>
          <w:rFonts w:hint="eastAsia" w:ascii="黑体" w:hAnsi="黑体" w:eastAsia="黑体" w:cs="仿宋_GB2312"/>
          <w:b/>
          <w:bCs/>
          <w:sz w:val="32"/>
          <w:szCs w:val="32"/>
        </w:rPr>
        <w:t>自我声明和水平评测流程</w:t>
      </w:r>
    </w:p>
    <w:p>
      <w:pPr>
        <w:numPr>
          <w:ilvl w:val="0"/>
          <w:numId w:val="3"/>
        </w:numPr>
        <w:spacing w:line="360" w:lineRule="auto"/>
        <w:ind w:firstLine="425" w:firstLineChars="133"/>
        <w:rPr>
          <w:rFonts w:ascii="楷体_GB2312" w:hAnsi="仿宋_GB2312" w:eastAsia="楷体_GB2312" w:cs="仿宋_GB2312"/>
          <w:sz w:val="32"/>
          <w:szCs w:val="32"/>
        </w:rPr>
      </w:pPr>
      <w:r>
        <w:rPr>
          <w:rFonts w:hint="eastAsia" w:ascii="楷体_GB2312" w:hAnsi="仿宋_GB2312" w:eastAsia="楷体_GB2312" w:cs="仿宋_GB2312"/>
          <w:sz w:val="32"/>
          <w:szCs w:val="32"/>
        </w:rPr>
        <w:t>网上信息填报和自我声明</w:t>
      </w:r>
    </w:p>
    <w:p>
      <w:pPr>
        <w:numPr>
          <w:ilvl w:val="0"/>
          <w:numId w:val="4"/>
        </w:numPr>
        <w:spacing w:line="360" w:lineRule="auto"/>
        <w:ind w:left="0" w:firstLine="566" w:firstLineChars="177"/>
        <w:rPr>
          <w:rFonts w:ascii="仿宋" w:hAnsi="仿宋" w:eastAsia="仿宋" w:cs="仿宋_GB2312"/>
          <w:sz w:val="32"/>
          <w:szCs w:val="32"/>
        </w:rPr>
      </w:pPr>
      <w:r>
        <w:rPr>
          <w:rFonts w:hint="eastAsia" w:ascii="仿宋" w:hAnsi="仿宋" w:eastAsia="仿宋" w:cs="仿宋_GB2312"/>
          <w:sz w:val="32"/>
          <w:szCs w:val="32"/>
        </w:rPr>
        <w:t>企业登陆社责委网站</w:t>
      </w:r>
      <w:r>
        <w:fldChar w:fldCharType="begin"/>
      </w:r>
      <w:r>
        <w:instrText xml:space="preserve"> HYPERLINK "http://www.ictcsr.cn" </w:instrText>
      </w:r>
      <w:r>
        <w:fldChar w:fldCharType="separate"/>
      </w:r>
      <w:r>
        <w:rPr>
          <w:rStyle w:val="4"/>
          <w:rFonts w:hint="eastAsia" w:ascii="仿宋" w:hAnsi="仿宋" w:eastAsia="仿宋" w:cs="仿宋_GB2312"/>
          <w:color w:val="auto"/>
          <w:sz w:val="32"/>
          <w:szCs w:val="32"/>
        </w:rPr>
        <w:t>www.ictcsr.cn</w:t>
      </w:r>
      <w:r>
        <w:rPr>
          <w:rStyle w:val="4"/>
          <w:rFonts w:hint="eastAsia" w:ascii="仿宋" w:hAnsi="仿宋" w:eastAsia="仿宋" w:cs="仿宋_GB2312"/>
          <w:color w:val="auto"/>
          <w:sz w:val="32"/>
          <w:szCs w:val="32"/>
        </w:rPr>
        <w:fldChar w:fldCharType="end"/>
      </w:r>
      <w:r>
        <w:rPr>
          <w:rFonts w:hint="eastAsia" w:ascii="仿宋" w:hAnsi="仿宋" w:eastAsia="仿宋" w:cs="仿宋_GB2312"/>
          <w:sz w:val="32"/>
          <w:szCs w:val="32"/>
        </w:rPr>
        <w:t>，进入“企业社会责任治理自我声明和水平评测平台”（以下简称：平台），按照提示在线填写企业信息和社会责任信息，上传并</w:t>
      </w:r>
      <w:r>
        <w:rPr>
          <w:rFonts w:ascii="仿宋" w:hAnsi="仿宋" w:eastAsia="仿宋" w:cs="仿宋_GB2312"/>
          <w:sz w:val="32"/>
          <w:szCs w:val="32"/>
        </w:rPr>
        <w:t>提交相关</w:t>
      </w:r>
      <w:r>
        <w:rPr>
          <w:rFonts w:hint="eastAsia" w:ascii="仿宋" w:hAnsi="仿宋" w:eastAsia="仿宋" w:cs="仿宋_GB2312"/>
          <w:sz w:val="32"/>
          <w:szCs w:val="32"/>
        </w:rPr>
        <w:t>证据文件、实践案例、社会责任报告、第三方评测报告等书面材料，并对信息真实性做出承诺。</w:t>
      </w:r>
    </w:p>
    <w:p>
      <w:pPr>
        <w:numPr>
          <w:ilvl w:val="0"/>
          <w:numId w:val="4"/>
        </w:numPr>
        <w:spacing w:line="360" w:lineRule="auto"/>
        <w:ind w:left="0" w:firstLine="566" w:firstLineChars="177"/>
        <w:rPr>
          <w:rFonts w:ascii="仿宋" w:hAnsi="仿宋" w:eastAsia="仿宋" w:cs="仿宋_GB2312"/>
          <w:sz w:val="32"/>
          <w:szCs w:val="32"/>
        </w:rPr>
      </w:pPr>
      <w:r>
        <w:rPr>
          <w:rFonts w:hint="eastAsia" w:ascii="仿宋" w:hAnsi="仿宋" w:eastAsia="仿宋" w:cs="仿宋_GB2312"/>
          <w:sz w:val="32"/>
          <w:szCs w:val="32"/>
        </w:rPr>
        <w:t>第三方机构可依据社会公开信息，通过平台对企业的社会责任信息进行填报和评测，了解企业的社会责任治理水平。</w:t>
      </w:r>
    </w:p>
    <w:p>
      <w:pPr>
        <w:numPr>
          <w:ilvl w:val="0"/>
          <w:numId w:val="4"/>
        </w:numPr>
        <w:spacing w:line="360" w:lineRule="auto"/>
        <w:ind w:left="0" w:firstLine="566" w:firstLineChars="177"/>
        <w:rPr>
          <w:rFonts w:ascii="仿宋" w:hAnsi="仿宋" w:eastAsia="仿宋" w:cs="仿宋_GB2312"/>
          <w:sz w:val="32"/>
          <w:szCs w:val="32"/>
        </w:rPr>
      </w:pPr>
      <w:r>
        <w:rPr>
          <w:rFonts w:hint="eastAsia" w:ascii="仿宋" w:hAnsi="仿宋" w:eastAsia="仿宋" w:cs="仿宋_GB2312"/>
          <w:sz w:val="32"/>
          <w:szCs w:val="32"/>
        </w:rPr>
        <w:t>行业鼓励更多的企业依据SJ/T16000-2016积极主动在平台开展社会责任治理自我声明和第三方现场审验。依据SJ/T16000-2016自我声明（即主动披露社会责任治理信息的企业）和开展过第三方机构社会责任现场审验的企业将在评测中分别给予加分。</w:t>
      </w:r>
    </w:p>
    <w:p>
      <w:pPr>
        <w:numPr>
          <w:ilvl w:val="0"/>
          <w:numId w:val="3"/>
        </w:numPr>
        <w:spacing w:line="360" w:lineRule="auto"/>
        <w:ind w:firstLine="425" w:firstLineChars="133"/>
        <w:rPr>
          <w:rFonts w:ascii="楷体_GB2312" w:hAnsi="仿宋_GB2312" w:eastAsia="楷体_GB2312" w:cs="仿宋_GB2312"/>
          <w:sz w:val="32"/>
          <w:szCs w:val="32"/>
        </w:rPr>
      </w:pPr>
      <w:r>
        <w:rPr>
          <w:rFonts w:hint="eastAsia" w:ascii="楷体_GB2312" w:hAnsi="仿宋_GB2312" w:eastAsia="楷体_GB2312" w:cs="仿宋_GB2312"/>
          <w:sz w:val="32"/>
          <w:szCs w:val="32"/>
        </w:rPr>
        <w:t>平台系统初始评测和初审</w:t>
      </w:r>
    </w:p>
    <w:p>
      <w:pPr>
        <w:pStyle w:val="7"/>
        <w:numPr>
          <w:ilvl w:val="0"/>
          <w:numId w:val="5"/>
        </w:numPr>
        <w:spacing w:line="360" w:lineRule="auto"/>
        <w:ind w:left="0" w:firstLine="573" w:firstLineChars="0"/>
        <w:rPr>
          <w:rFonts w:ascii="仿宋" w:hAnsi="仿宋" w:eastAsia="仿宋" w:cs="仿宋_GB2312"/>
          <w:sz w:val="32"/>
          <w:szCs w:val="32"/>
        </w:rPr>
      </w:pPr>
      <w:r>
        <w:rPr>
          <w:rFonts w:hint="eastAsia" w:ascii="仿宋" w:hAnsi="仿宋" w:eastAsia="仿宋" w:cs="仿宋_GB2312"/>
          <w:sz w:val="32"/>
          <w:szCs w:val="32"/>
        </w:rPr>
        <w:t>平台系统根据企业或第三方机构填报的信息，形成初始评测报告并进行初审，对信息的完整性和有效性进行核实。通过初审的企业申报材料进入带审核评测状态。</w:t>
      </w:r>
    </w:p>
    <w:p>
      <w:pPr>
        <w:pStyle w:val="7"/>
        <w:numPr>
          <w:ilvl w:val="0"/>
          <w:numId w:val="5"/>
        </w:numPr>
        <w:spacing w:line="360" w:lineRule="auto"/>
        <w:ind w:left="0" w:firstLine="640" w:firstLineChars="0"/>
        <w:rPr>
          <w:rFonts w:ascii="仿宋" w:hAnsi="仿宋" w:eastAsia="仿宋" w:cs="仿宋_GB2312"/>
          <w:sz w:val="32"/>
          <w:szCs w:val="32"/>
        </w:rPr>
      </w:pPr>
      <w:r>
        <w:rPr>
          <w:rFonts w:hint="eastAsia" w:ascii="仿宋" w:hAnsi="仿宋" w:eastAsia="仿宋" w:cs="仿宋_GB2312"/>
          <w:sz w:val="32"/>
          <w:szCs w:val="32"/>
        </w:rPr>
        <w:t>行业鼓励企业依据SJ/T16000-2016编写社会责任报告、开展社会责任培训、制定社会责任管理制度和开展供应链责任管理；鼓励企业依据相关标准，开展社会责任相关的管理体系认证，例如质量管理体系、环境管理体系等认证；同时鼓励企业将SJ/T16000-2016积极应用到实践运营中，例如为技术创新做出突出贡献、自愿做出减排承诺、制定员工帮助计划、产品设计优化、开展高层培训和专业志愿服务等，均予以相应加分。</w:t>
      </w:r>
    </w:p>
    <w:p>
      <w:pPr>
        <w:numPr>
          <w:ilvl w:val="0"/>
          <w:numId w:val="3"/>
        </w:numPr>
        <w:spacing w:line="360" w:lineRule="auto"/>
        <w:ind w:firstLine="425" w:firstLineChars="133"/>
        <w:rPr>
          <w:rFonts w:ascii="楷体_GB2312" w:hAnsi="仿宋_GB2312" w:eastAsia="楷体_GB2312" w:cs="仿宋_GB2312"/>
          <w:sz w:val="32"/>
          <w:szCs w:val="32"/>
        </w:rPr>
      </w:pPr>
      <w:r>
        <w:rPr>
          <w:rFonts w:hint="eastAsia" w:ascii="楷体_GB2312" w:hAnsi="仿宋_GB2312" w:eastAsia="楷体_GB2312" w:cs="仿宋_GB2312"/>
          <w:sz w:val="32"/>
          <w:szCs w:val="32"/>
        </w:rPr>
        <w:t>专家审核</w:t>
      </w:r>
    </w:p>
    <w:p>
      <w:pPr>
        <w:pStyle w:val="7"/>
        <w:numPr>
          <w:ilvl w:val="0"/>
          <w:numId w:val="6"/>
        </w:numPr>
        <w:spacing w:line="360" w:lineRule="auto"/>
        <w:ind w:left="0" w:firstLine="567" w:firstLineChars="0"/>
        <w:rPr>
          <w:rFonts w:ascii="仿宋" w:hAnsi="仿宋" w:eastAsia="仿宋" w:cs="仿宋_GB2312"/>
          <w:sz w:val="32"/>
          <w:szCs w:val="32"/>
        </w:rPr>
      </w:pPr>
      <w:r>
        <w:rPr>
          <w:rFonts w:hint="eastAsia" w:ascii="仿宋" w:hAnsi="仿宋" w:eastAsia="仿宋" w:cs="仿宋_GB2312"/>
          <w:sz w:val="32"/>
          <w:szCs w:val="32"/>
        </w:rPr>
        <w:t>专家组对企业和第三方机构填报的信息和上传的证据、认证报告、现场审验报告等书面材料的符合性、完整性和可信性进行审核确认。对于填报</w:t>
      </w:r>
      <w:r>
        <w:rPr>
          <w:rFonts w:ascii="仿宋" w:hAnsi="仿宋" w:eastAsia="仿宋" w:cs="仿宋_GB2312"/>
          <w:sz w:val="32"/>
          <w:szCs w:val="32"/>
        </w:rPr>
        <w:t>的</w:t>
      </w:r>
      <w:r>
        <w:rPr>
          <w:rFonts w:hint="eastAsia" w:ascii="仿宋" w:hAnsi="仿宋" w:eastAsia="仿宋" w:cs="仿宋_GB2312"/>
          <w:sz w:val="32"/>
          <w:szCs w:val="32"/>
        </w:rPr>
        <w:t>不符合要求、</w:t>
      </w:r>
      <w:r>
        <w:rPr>
          <w:rFonts w:ascii="仿宋" w:hAnsi="仿宋" w:eastAsia="仿宋" w:cs="仿宋_GB2312"/>
          <w:sz w:val="32"/>
          <w:szCs w:val="32"/>
        </w:rPr>
        <w:t>不准确信息</w:t>
      </w:r>
      <w:r>
        <w:rPr>
          <w:rFonts w:hint="eastAsia" w:ascii="仿宋" w:hAnsi="仿宋" w:eastAsia="仿宋" w:cs="仿宋_GB2312"/>
          <w:sz w:val="32"/>
          <w:szCs w:val="32"/>
        </w:rPr>
        <w:t>的材料将返回修改一次。</w:t>
      </w:r>
    </w:p>
    <w:p>
      <w:pPr>
        <w:pStyle w:val="7"/>
        <w:numPr>
          <w:ilvl w:val="0"/>
          <w:numId w:val="6"/>
        </w:numPr>
        <w:spacing w:line="360" w:lineRule="auto"/>
        <w:ind w:left="0" w:firstLine="567" w:firstLineChars="0"/>
        <w:rPr>
          <w:rFonts w:ascii="仿宋" w:hAnsi="仿宋" w:eastAsia="仿宋" w:cs="仿宋_GB2312"/>
          <w:sz w:val="32"/>
          <w:szCs w:val="32"/>
        </w:rPr>
      </w:pPr>
      <w:r>
        <w:rPr>
          <w:rFonts w:hint="eastAsia" w:ascii="仿宋" w:hAnsi="仿宋" w:eastAsia="仿宋" w:cs="仿宋_GB2312"/>
          <w:sz w:val="32"/>
          <w:szCs w:val="32"/>
        </w:rPr>
        <w:t>专家组对企业提交的社会责任实践案例，依据SJ/T16000-2016从创新性、社会和经济效益等方面进行评审，对企业社会责任履责实践给予加分。</w:t>
      </w:r>
    </w:p>
    <w:p>
      <w:pPr>
        <w:pStyle w:val="7"/>
        <w:numPr>
          <w:ilvl w:val="0"/>
          <w:numId w:val="6"/>
        </w:numPr>
        <w:spacing w:line="360" w:lineRule="auto"/>
        <w:ind w:left="0" w:firstLine="567" w:firstLineChars="0"/>
        <w:rPr>
          <w:rFonts w:ascii="仿宋" w:hAnsi="仿宋" w:eastAsia="仿宋" w:cs="仿宋_GB2312"/>
          <w:sz w:val="32"/>
          <w:szCs w:val="32"/>
        </w:rPr>
      </w:pPr>
      <w:r>
        <w:rPr>
          <w:rFonts w:hint="eastAsia" w:ascii="仿宋" w:hAnsi="仿宋" w:eastAsia="仿宋" w:cs="仿宋_GB2312"/>
          <w:sz w:val="32"/>
          <w:szCs w:val="32"/>
        </w:rPr>
        <w:t>专家组对企业的社会责任治理情况提出意见和建议。</w:t>
      </w:r>
    </w:p>
    <w:p>
      <w:pPr>
        <w:numPr>
          <w:ilvl w:val="0"/>
          <w:numId w:val="3"/>
        </w:numPr>
        <w:spacing w:line="360" w:lineRule="auto"/>
        <w:ind w:firstLine="425" w:firstLineChars="133"/>
        <w:rPr>
          <w:rFonts w:ascii="楷体_GB2312" w:hAnsi="仿宋_GB2312" w:eastAsia="楷体_GB2312" w:cs="仿宋_GB2312"/>
          <w:sz w:val="32"/>
          <w:szCs w:val="32"/>
        </w:rPr>
      </w:pPr>
      <w:r>
        <w:rPr>
          <w:rFonts w:hint="eastAsia" w:ascii="楷体_GB2312" w:hAnsi="仿宋_GB2312" w:eastAsia="楷体_GB2312" w:cs="仿宋_GB2312"/>
          <w:sz w:val="32"/>
          <w:szCs w:val="32"/>
        </w:rPr>
        <w:t>形成最终评测报告</w:t>
      </w:r>
    </w:p>
    <w:p>
      <w:pPr>
        <w:pStyle w:val="7"/>
        <w:numPr>
          <w:ilvl w:val="0"/>
          <w:numId w:val="7"/>
        </w:numPr>
        <w:spacing w:line="360" w:lineRule="auto"/>
        <w:ind w:left="0" w:firstLine="567" w:firstLineChars="0"/>
        <w:rPr>
          <w:rFonts w:ascii="仿宋" w:hAnsi="仿宋" w:eastAsia="仿宋" w:cs="仿宋_GB2312"/>
          <w:sz w:val="32"/>
          <w:szCs w:val="32"/>
        </w:rPr>
      </w:pPr>
      <w:r>
        <w:rPr>
          <w:rFonts w:hint="eastAsia" w:ascii="仿宋" w:hAnsi="仿宋" w:eastAsia="仿宋" w:cs="仿宋_GB2312"/>
          <w:sz w:val="32"/>
          <w:szCs w:val="32"/>
        </w:rPr>
        <w:t>根据填报的企业信息和专家组审核意见，平台系统自动出具简要评测报告，包括企业社会责任治理总体水平情况、履责主题分项得分情况以及专家意见和建议等。</w:t>
      </w:r>
    </w:p>
    <w:p>
      <w:pPr>
        <w:pStyle w:val="7"/>
        <w:numPr>
          <w:ilvl w:val="0"/>
          <w:numId w:val="7"/>
        </w:numPr>
        <w:spacing w:line="360" w:lineRule="auto"/>
        <w:ind w:left="0" w:firstLine="567" w:firstLineChars="0"/>
        <w:rPr>
          <w:rFonts w:ascii="仿宋" w:hAnsi="仿宋" w:eastAsia="仿宋" w:cs="仿宋_GB2312"/>
          <w:sz w:val="32"/>
          <w:szCs w:val="32"/>
        </w:rPr>
      </w:pPr>
      <w:r>
        <w:rPr>
          <w:rFonts w:hint="eastAsia" w:ascii="仿宋" w:hAnsi="仿宋" w:eastAsia="仿宋" w:cs="仿宋_GB2312"/>
          <w:sz w:val="32"/>
          <w:szCs w:val="32"/>
        </w:rPr>
        <w:t>根据企业的需要，企业亦可申请</w:t>
      </w:r>
      <w:r>
        <w:rPr>
          <w:rFonts w:ascii="仿宋" w:hAnsi="仿宋" w:eastAsia="仿宋" w:cs="仿宋_GB2312"/>
          <w:sz w:val="32"/>
          <w:szCs w:val="32"/>
        </w:rPr>
        <w:t>专家组</w:t>
      </w:r>
      <w:r>
        <w:rPr>
          <w:rFonts w:hint="eastAsia" w:ascii="仿宋" w:hAnsi="仿宋" w:eastAsia="仿宋" w:cs="仿宋_GB2312"/>
          <w:sz w:val="32"/>
          <w:szCs w:val="32"/>
        </w:rPr>
        <w:t>出具详细报告，详细报告将根据企业各履责主题得分情况进行分类阐释，根据企业概况、与先进企业及同行对比等方面进行分析，对企业社会责任现状和</w:t>
      </w:r>
      <w:r>
        <w:rPr>
          <w:rFonts w:ascii="仿宋" w:hAnsi="仿宋" w:eastAsia="仿宋" w:cs="仿宋_GB2312"/>
          <w:sz w:val="32"/>
          <w:szCs w:val="32"/>
        </w:rPr>
        <w:t>工作重点</w:t>
      </w:r>
      <w:r>
        <w:rPr>
          <w:rFonts w:hint="eastAsia" w:ascii="仿宋" w:hAnsi="仿宋" w:eastAsia="仿宋" w:cs="仿宋_GB2312"/>
          <w:sz w:val="32"/>
          <w:szCs w:val="32"/>
        </w:rPr>
        <w:t>给予</w:t>
      </w:r>
      <w:r>
        <w:rPr>
          <w:rFonts w:ascii="仿宋" w:hAnsi="仿宋" w:eastAsia="仿宋" w:cs="仿宋_GB2312"/>
          <w:sz w:val="32"/>
          <w:szCs w:val="32"/>
        </w:rPr>
        <w:t>意见和建议</w:t>
      </w:r>
      <w:r>
        <w:rPr>
          <w:rFonts w:hint="eastAsia" w:ascii="仿宋" w:hAnsi="仿宋" w:eastAsia="仿宋" w:cs="仿宋_GB2312"/>
          <w:sz w:val="32"/>
          <w:szCs w:val="32"/>
        </w:rPr>
        <w:t>。</w:t>
      </w:r>
    </w:p>
    <w:p>
      <w:pPr>
        <w:numPr>
          <w:ilvl w:val="0"/>
          <w:numId w:val="3"/>
        </w:numPr>
        <w:spacing w:line="360" w:lineRule="auto"/>
        <w:ind w:firstLine="425" w:firstLineChars="133"/>
        <w:rPr>
          <w:rFonts w:ascii="楷体_GB2312" w:hAnsi="仿宋_GB2312" w:eastAsia="楷体_GB2312" w:cs="仿宋_GB2312"/>
          <w:sz w:val="32"/>
          <w:szCs w:val="32"/>
        </w:rPr>
      </w:pPr>
      <w:r>
        <w:rPr>
          <w:rFonts w:hint="eastAsia" w:ascii="楷体_GB2312" w:hAnsi="仿宋_GB2312" w:eastAsia="楷体_GB2312" w:cs="仿宋_GB2312"/>
          <w:sz w:val="32"/>
          <w:szCs w:val="32"/>
        </w:rPr>
        <w:t>自我声明和评测结果公布</w:t>
      </w:r>
    </w:p>
    <w:p>
      <w:pPr>
        <w:spacing w:line="360" w:lineRule="auto"/>
        <w:ind w:firstLine="566" w:firstLineChars="177"/>
        <w:rPr>
          <w:rFonts w:ascii="仿宋" w:hAnsi="仿宋" w:eastAsia="仿宋" w:cs="仿宋_GB2312"/>
          <w:sz w:val="32"/>
          <w:szCs w:val="32"/>
        </w:rPr>
      </w:pPr>
      <w:r>
        <w:rPr>
          <w:rFonts w:hint="eastAsia" w:ascii="仿宋" w:hAnsi="仿宋" w:eastAsia="仿宋" w:cs="仿宋_GB2312"/>
          <w:sz w:val="32"/>
          <w:szCs w:val="32"/>
        </w:rPr>
        <w:t>主动开展自我声明的企业，将在行业网站等公开渠道给予鼓励，并对社会公布；企业可登陆平台查看评测结果，评测结果将纳入行业研究报告，行业评测前5</w:t>
      </w:r>
      <w:r>
        <w:rPr>
          <w:rFonts w:ascii="仿宋" w:hAnsi="仿宋" w:eastAsia="仿宋" w:cs="仿宋_GB2312"/>
          <w:sz w:val="32"/>
          <w:szCs w:val="32"/>
        </w:rPr>
        <w:t>0</w:t>
      </w:r>
      <w:r>
        <w:rPr>
          <w:rFonts w:hint="eastAsia" w:ascii="仿宋" w:hAnsi="仿宋" w:eastAsia="仿宋" w:cs="仿宋_GB2312"/>
          <w:sz w:val="32"/>
          <w:szCs w:val="32"/>
        </w:rPr>
        <w:t>强企业，将在报告中体现并通过年会等渠道发布。</w:t>
      </w:r>
    </w:p>
    <w:p/>
    <w:sectPr>
      <w:pgSz w:w="11906" w:h="16838"/>
      <w:pgMar w:top="2098" w:right="1474" w:bottom="1985"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15608"/>
    <w:multiLevelType w:val="multilevel"/>
    <w:tmpl w:val="14D15608"/>
    <w:lvl w:ilvl="0" w:tentative="0">
      <w:start w:val="1"/>
      <w:numFmt w:val="decimal"/>
      <w:lvlText w:val="%1、"/>
      <w:lvlJc w:val="left"/>
      <w:pPr>
        <w:ind w:left="1060" w:hanging="420"/>
      </w:pPr>
      <w:rPr>
        <w:rFonts w:hint="eastAsia" w:eastAsia="仿宋"/>
        <w:b/>
        <w:i w:val="0"/>
        <w:sz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214807E2"/>
    <w:multiLevelType w:val="singleLevel"/>
    <w:tmpl w:val="214807E2"/>
    <w:lvl w:ilvl="0" w:tentative="0">
      <w:start w:val="1"/>
      <w:numFmt w:val="chineseCounting"/>
      <w:lvlText w:val="%1、"/>
      <w:lvlJc w:val="left"/>
      <w:pPr>
        <w:ind w:left="420" w:hanging="420"/>
      </w:pPr>
    </w:lvl>
  </w:abstractNum>
  <w:abstractNum w:abstractNumId="2">
    <w:nsid w:val="23407CB6"/>
    <w:multiLevelType w:val="multilevel"/>
    <w:tmpl w:val="23407CB6"/>
    <w:lvl w:ilvl="0" w:tentative="0">
      <w:start w:val="1"/>
      <w:numFmt w:val="decimal"/>
      <w:lvlText w:val="%1、"/>
      <w:lvlJc w:val="left"/>
      <w:pPr>
        <w:ind w:left="1000" w:hanging="360"/>
      </w:pPr>
      <w:rPr>
        <w:rFonts w:hint="eastAsia" w:eastAsia="仿宋"/>
        <w:b/>
        <w:i w:val="0"/>
        <w:sz w:val="32"/>
      </w:rPr>
    </w:lvl>
    <w:lvl w:ilvl="1" w:tentative="0">
      <w:start w:val="3"/>
      <w:numFmt w:val="japaneseCounting"/>
      <w:lvlText w:val="%2、"/>
      <w:lvlJc w:val="left"/>
      <w:pPr>
        <w:ind w:left="988" w:hanging="420"/>
      </w:pPr>
      <w:rPr>
        <w:rFonts w:hint="default" w:ascii="黑体" w:hAnsi="黑体" w:eastAsia="黑体"/>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5C8596E"/>
    <w:multiLevelType w:val="multilevel"/>
    <w:tmpl w:val="45C8596E"/>
    <w:lvl w:ilvl="0" w:tentative="0">
      <w:start w:val="1"/>
      <w:numFmt w:val="decimal"/>
      <w:lvlText w:val="%1、"/>
      <w:lvlJc w:val="left"/>
      <w:pPr>
        <w:ind w:left="420" w:hanging="420"/>
      </w:pPr>
      <w:rPr>
        <w:rFonts w:hint="eastAsia" w:eastAsia="仿宋"/>
        <w:b/>
        <w:i w:val="0"/>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785ACC0"/>
    <w:multiLevelType w:val="singleLevel"/>
    <w:tmpl w:val="5785ACC0"/>
    <w:lvl w:ilvl="0" w:tentative="0">
      <w:start w:val="1"/>
      <w:numFmt w:val="chineseCounting"/>
      <w:suff w:val="nothing"/>
      <w:lvlText w:val="（%1）"/>
      <w:lvlJc w:val="left"/>
      <w:pPr>
        <w:ind w:left="0" w:firstLine="420"/>
      </w:pPr>
      <w:rPr>
        <w:rFonts w:hint="eastAsia" w:ascii="楷体" w:hAnsi="楷体" w:eastAsia="楷体"/>
      </w:rPr>
    </w:lvl>
  </w:abstractNum>
  <w:abstractNum w:abstractNumId="5">
    <w:nsid w:val="599F8EA8"/>
    <w:multiLevelType w:val="singleLevel"/>
    <w:tmpl w:val="599F8EA8"/>
    <w:lvl w:ilvl="0" w:tentative="0">
      <w:start w:val="1"/>
      <w:numFmt w:val="decimal"/>
      <w:lvlText w:val="%1、"/>
      <w:lvlJc w:val="left"/>
      <w:pPr>
        <w:ind w:left="420" w:hanging="420"/>
      </w:pPr>
      <w:rPr>
        <w:rFonts w:hint="eastAsia" w:eastAsia="仿宋"/>
        <w:b/>
        <w:i w:val="0"/>
        <w:sz w:val="32"/>
      </w:rPr>
    </w:lvl>
  </w:abstractNum>
  <w:abstractNum w:abstractNumId="6">
    <w:nsid w:val="5BA87781"/>
    <w:multiLevelType w:val="multilevel"/>
    <w:tmpl w:val="5BA87781"/>
    <w:lvl w:ilvl="0" w:tentative="0">
      <w:start w:val="1"/>
      <w:numFmt w:val="decimal"/>
      <w:lvlText w:val="%1、"/>
      <w:lvlJc w:val="left"/>
      <w:pPr>
        <w:ind w:left="1060" w:hanging="420"/>
      </w:pPr>
      <w:rPr>
        <w:rFonts w:hint="eastAsia" w:eastAsia="仿宋"/>
        <w:b/>
        <w:i w:val="0"/>
        <w:sz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2"/>
  </w:num>
  <w:num w:numId="3">
    <w:abstractNumId w:val="4"/>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D2E16"/>
    <w:rsid w:val="4FAD2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eastAsia="宋体" w:asciiTheme="majorHAnsi" w:hAnsiTheme="majorHAnsi" w:cstheme="majorBidi"/>
      <w:b/>
      <w:bCs/>
      <w:sz w:val="32"/>
      <w:szCs w:val="32"/>
    </w:rPr>
  </w:style>
  <w:style w:type="character" w:styleId="4">
    <w:name w:val="Hyperlink"/>
    <w:basedOn w:val="3"/>
    <w:uiPriority w:val="0"/>
    <w:rPr>
      <w:color w:val="0563C1" w:themeColor="hyperlink"/>
      <w:u w:val="single"/>
      <w14:textFill>
        <w14:solidFill>
          <w14:schemeClr w14:val="hlink"/>
        </w14:solidFill>
      </w14:textFill>
    </w:rPr>
  </w:style>
  <w:style w:type="paragraph" w:customStyle="1" w:styleId="6">
    <w:name w:val="列出段落1"/>
    <w:basedOn w:val="1"/>
    <w:qFormat/>
    <w:uiPriority w:val="34"/>
    <w:pPr>
      <w:ind w:firstLine="420" w:firstLineChars="200"/>
    </w:pPr>
  </w:style>
  <w:style w:type="paragraph" w:customStyle="1" w:styleId="7">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2018-07-18T06:41:00Z</dcterms:created>
  <dc:creator>HGB-BZ-01</dc:creator>
  <cp:lastModifiedBy>HGB-BZ-01</cp:lastModifiedBy>
  <dcterms:modified xsi:type="dcterms:W3CDTF">2018-07-18T06:41:41Z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